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7F5E56" w:rsidRPr="00C07DB1">
        <w:rPr>
          <w:rFonts w:ascii="Times New Roman" w:hAnsi="Times New Roman" w:cs="Times New Roman"/>
          <w:b/>
          <w:sz w:val="20"/>
        </w:rPr>
        <w:t>С</w:t>
      </w:r>
      <w:r w:rsidR="008C3A60" w:rsidRPr="00C07DB1">
        <w:rPr>
          <w:rFonts w:ascii="Times New Roman" w:hAnsi="Times New Roman" w:cs="Times New Roman"/>
          <w:b/>
          <w:sz w:val="20"/>
        </w:rPr>
        <w:t>пз1</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463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w:t>
      </w:r>
      <w:proofErr w:type="gramStart"/>
      <w:r w:rsidRPr="00C07DB1">
        <w:rPr>
          <w:rFonts w:ascii="Times New Roman" w:hAnsi="Times New Roman" w:cs="Times New Roman"/>
          <w:sz w:val="16"/>
          <w:szCs w:val="16"/>
        </w:rPr>
        <w:t xml:space="preserve">В соответствии с </w:t>
      </w:r>
      <w:r w:rsidR="00240265" w:rsidRPr="00C07DB1">
        <w:rPr>
          <w:rFonts w:ascii="Times New Roman" w:hAnsi="Times New Roman" w:cs="Times New Roman"/>
          <w:sz w:val="16"/>
          <w:szCs w:val="16"/>
        </w:rPr>
        <w:t xml:space="preserve">Постановлением Администрации города Липецка № 463 от 17.03.2022г. Исполнитель определен  управляющей организацией  для управления  многоквартирным домом № 1 по ул. </w:t>
      </w:r>
      <w:proofErr w:type="spellStart"/>
      <w:r w:rsidR="00240265" w:rsidRPr="00C07DB1">
        <w:rPr>
          <w:rFonts w:ascii="Times New Roman" w:hAnsi="Times New Roman" w:cs="Times New Roman"/>
          <w:sz w:val="16"/>
          <w:szCs w:val="16"/>
        </w:rPr>
        <w:t>Спиртзаводская</w:t>
      </w:r>
      <w:proofErr w:type="spellEnd"/>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w:t>
      </w:r>
      <w:proofErr w:type="gramEnd"/>
      <w:r w:rsidR="00240265" w:rsidRPr="00C07DB1">
        <w:rPr>
          <w:rFonts w:ascii="Times New Roman" w:hAnsi="Times New Roman" w:cs="Times New Roman"/>
          <w:sz w:val="16"/>
          <w:szCs w:val="16"/>
        </w:rPr>
        <w:t xml:space="preserve">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proofErr w:type="spellStart"/>
      <w:r w:rsidRPr="00C07DB1">
        <w:rPr>
          <w:rFonts w:ascii="Times New Roman" w:hAnsi="Times New Roman"/>
          <w:color w:val="000000"/>
          <w:sz w:val="16"/>
          <w:szCs w:val="16"/>
        </w:rPr>
        <w:t>С</w:t>
      </w:r>
      <w:r w:rsidR="0055118A" w:rsidRPr="00C07DB1">
        <w:rPr>
          <w:rFonts w:ascii="Times New Roman" w:hAnsi="Times New Roman"/>
          <w:color w:val="000000"/>
          <w:sz w:val="16"/>
          <w:szCs w:val="16"/>
        </w:rPr>
        <w:t>пиртзаводская</w:t>
      </w:r>
      <w:proofErr w:type="spellEnd"/>
      <w:r w:rsidRPr="00C07DB1">
        <w:rPr>
          <w:rFonts w:ascii="Times New Roman" w:hAnsi="Times New Roman"/>
          <w:color w:val="000000"/>
          <w:sz w:val="16"/>
          <w:szCs w:val="16"/>
        </w:rPr>
        <w:t xml:space="preserve">, дом № </w:t>
      </w:r>
      <w:r w:rsidR="0055118A" w:rsidRPr="00C07DB1">
        <w:rPr>
          <w:rFonts w:ascii="Times New Roman" w:hAnsi="Times New Roman"/>
          <w:color w:val="000000"/>
          <w:sz w:val="16"/>
          <w:szCs w:val="16"/>
        </w:rPr>
        <w:t>1</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proofErr w:type="spellStart"/>
      <w:r w:rsidRPr="00C07DB1">
        <w:rPr>
          <w:rFonts w:ascii="Times New Roman" w:hAnsi="Times New Roman" w:cs="Times New Roman"/>
          <w:sz w:val="16"/>
          <w:szCs w:val="16"/>
        </w:rPr>
        <w:t>С</w:t>
      </w:r>
      <w:r w:rsidR="0055118A" w:rsidRPr="00C07DB1">
        <w:rPr>
          <w:rFonts w:ascii="Times New Roman" w:hAnsi="Times New Roman" w:cs="Times New Roman"/>
          <w:sz w:val="16"/>
          <w:szCs w:val="16"/>
        </w:rPr>
        <w:t>пиртзаводская</w:t>
      </w:r>
      <w:proofErr w:type="spellEnd"/>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жилой дом</w:t>
      </w:r>
      <w:r w:rsidR="0055118A" w:rsidRPr="00C07DB1">
        <w:rPr>
          <w:rFonts w:ascii="Times New Roman" w:hAnsi="Times New Roman" w:cs="Times New Roman"/>
          <w:sz w:val="16"/>
          <w:szCs w:val="16"/>
        </w:rPr>
        <w:t xml:space="preserve"> блокированной застройки</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1959</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55118A" w:rsidRPr="00C07DB1">
        <w:rPr>
          <w:rFonts w:ascii="Times New Roman" w:hAnsi="Times New Roman" w:cs="Times New Roman"/>
          <w:sz w:val="16"/>
          <w:szCs w:val="16"/>
        </w:rPr>
        <w:t>1</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xml:space="preserve">) количество квартир - </w:t>
      </w:r>
      <w:r w:rsidR="0053119C">
        <w:rPr>
          <w:rFonts w:ascii="Times New Roman" w:hAnsi="Times New Roman" w:cs="Times New Roman"/>
          <w:sz w:val="16"/>
          <w:szCs w:val="16"/>
        </w:rPr>
        <w:t>16</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53119C" w:rsidRPr="0053119C">
        <w:rPr>
          <w:rFonts w:ascii="Times New Roman" w:hAnsi="Times New Roman" w:cs="Times New Roman"/>
          <w:sz w:val="16"/>
          <w:szCs w:val="16"/>
        </w:rPr>
        <w:t>592.8</w:t>
      </w:r>
      <w:r w:rsidR="0053119C">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53119C" w:rsidRPr="0053119C">
        <w:rPr>
          <w:rFonts w:ascii="Times New Roman" w:hAnsi="Times New Roman" w:cs="Times New Roman"/>
          <w:sz w:val="16"/>
          <w:szCs w:val="16"/>
        </w:rPr>
        <w:t>592.8</w:t>
      </w:r>
      <w:r w:rsidRPr="00C07DB1">
        <w:rPr>
          <w:rFonts w:ascii="Times New Roman" w:hAnsi="Times New Roman" w:cs="Times New Roman"/>
          <w:sz w:val="16"/>
          <w:szCs w:val="16"/>
        </w:rPr>
        <w:t xml:space="preserve"> 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53119C">
        <w:rPr>
          <w:rFonts w:ascii="Times New Roman" w:hAnsi="Times New Roman" w:cs="Times New Roman"/>
          <w:sz w:val="16"/>
          <w:szCs w:val="16"/>
        </w:rPr>
        <w:t>0</w:t>
      </w:r>
      <w:r w:rsidRPr="00C07DB1">
        <w:rPr>
          <w:rFonts w:ascii="Times New Roman" w:hAnsi="Times New Roman" w:cs="Times New Roman"/>
          <w:sz w:val="16"/>
          <w:szCs w:val="16"/>
        </w:rPr>
        <w:t xml:space="preserve"> 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C6339F">
        <w:rPr>
          <w:rFonts w:ascii="Times New Roman" w:hAnsi="Times New Roman" w:cs="Times New Roman"/>
          <w:sz w:val="16"/>
          <w:szCs w:val="16"/>
        </w:rPr>
        <w:t>994</w:t>
      </w:r>
      <w:r w:rsidR="0053119C">
        <w:rPr>
          <w:rFonts w:ascii="Times New Roman" w:hAnsi="Times New Roman" w:cs="Times New Roman"/>
          <w:sz w:val="16"/>
          <w:szCs w:val="16"/>
        </w:rPr>
        <w:t>,0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C6339F" w:rsidRPr="00C6339F">
        <w:rPr>
          <w:rFonts w:ascii="Times New Roman" w:hAnsi="Times New Roman" w:cs="Times New Roman"/>
          <w:sz w:val="16"/>
          <w:szCs w:val="16"/>
        </w:rPr>
        <w:t>48:20:0035102:1119</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463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в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xml:space="preserve">, холодное водоснабжение, </w:t>
      </w:r>
      <w:r w:rsidR="00A95343">
        <w:rPr>
          <w:rFonts w:ascii="Times New Roman" w:hAnsi="Times New Roman" w:cs="Times New Roman"/>
          <w:sz w:val="16"/>
          <w:szCs w:val="16"/>
        </w:rPr>
        <w:t xml:space="preserve">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в случае поступления иных обращений Исполнитель  в течение 10 (десяти) рабочих дней обязан рассмотреть обращение и 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463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Pr="007D2D8E" w:rsidRDefault="00C9403F"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отделки фасада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 и отопления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lastRenderedPageBreak/>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Pr="007D2D8E" w:rsidRDefault="00C9403F"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обеспечению вывоза, в том числе откачке, жидких бытовых отходов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463 от 17.03.2022г. и составляет 10,50 (Десять) рублей 50 копеек 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lastRenderedPageBreak/>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D67E19">
      <w:pPr>
        <w:numPr>
          <w:ilvl w:val="0"/>
          <w:numId w:val="23"/>
        </w:numPr>
        <w:spacing w:after="0" w:line="240" w:lineRule="auto"/>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w:t>
      </w:r>
      <w:r w:rsidRPr="00C07DB1">
        <w:rPr>
          <w:rFonts w:ascii="Times New Roman" w:hAnsi="Times New Roman" w:cs="Times New Roman"/>
          <w:sz w:val="16"/>
          <w:szCs w:val="16"/>
        </w:rPr>
        <w:lastRenderedPageBreak/>
        <w:t>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lastRenderedPageBreak/>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2D5D95">
      <w:pgSz w:w="11906" w:h="16838"/>
      <w:pgMar w:top="568"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62A0"/>
    <w:rsid w:val="0013041C"/>
    <w:rsid w:val="0014685A"/>
    <w:rsid w:val="0015050E"/>
    <w:rsid w:val="0015107D"/>
    <w:rsid w:val="00177F07"/>
    <w:rsid w:val="001A0D49"/>
    <w:rsid w:val="001A72C1"/>
    <w:rsid w:val="001E3BD0"/>
    <w:rsid w:val="001F4011"/>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B7A73"/>
    <w:rsid w:val="003C1BD0"/>
    <w:rsid w:val="003C4AD8"/>
    <w:rsid w:val="0042625F"/>
    <w:rsid w:val="00457CDE"/>
    <w:rsid w:val="0053119C"/>
    <w:rsid w:val="0055118A"/>
    <w:rsid w:val="00570228"/>
    <w:rsid w:val="005B2B20"/>
    <w:rsid w:val="005D1167"/>
    <w:rsid w:val="005E489F"/>
    <w:rsid w:val="005F2427"/>
    <w:rsid w:val="005F303D"/>
    <w:rsid w:val="00620168"/>
    <w:rsid w:val="00643C40"/>
    <w:rsid w:val="0069289E"/>
    <w:rsid w:val="00731695"/>
    <w:rsid w:val="007843AD"/>
    <w:rsid w:val="007D2D8E"/>
    <w:rsid w:val="007F5E56"/>
    <w:rsid w:val="007F7E02"/>
    <w:rsid w:val="00822EC3"/>
    <w:rsid w:val="008854F0"/>
    <w:rsid w:val="008C3A60"/>
    <w:rsid w:val="008D66CD"/>
    <w:rsid w:val="009301D7"/>
    <w:rsid w:val="00936504"/>
    <w:rsid w:val="009460B0"/>
    <w:rsid w:val="009535B5"/>
    <w:rsid w:val="00960830"/>
    <w:rsid w:val="00985BB8"/>
    <w:rsid w:val="009A0D59"/>
    <w:rsid w:val="00A029F9"/>
    <w:rsid w:val="00A03F5C"/>
    <w:rsid w:val="00A30E65"/>
    <w:rsid w:val="00A4552B"/>
    <w:rsid w:val="00A675B7"/>
    <w:rsid w:val="00A80506"/>
    <w:rsid w:val="00A9357B"/>
    <w:rsid w:val="00A95343"/>
    <w:rsid w:val="00AB49ED"/>
    <w:rsid w:val="00AE3D1E"/>
    <w:rsid w:val="00B1788E"/>
    <w:rsid w:val="00B23BF5"/>
    <w:rsid w:val="00B47845"/>
    <w:rsid w:val="00B5407A"/>
    <w:rsid w:val="00B837F6"/>
    <w:rsid w:val="00BA3543"/>
    <w:rsid w:val="00BA4E89"/>
    <w:rsid w:val="00C07DB1"/>
    <w:rsid w:val="00C419BE"/>
    <w:rsid w:val="00C6339F"/>
    <w:rsid w:val="00C81B96"/>
    <w:rsid w:val="00C9403F"/>
    <w:rsid w:val="00C96790"/>
    <w:rsid w:val="00CA4BF7"/>
    <w:rsid w:val="00CC622F"/>
    <w:rsid w:val="00D00343"/>
    <w:rsid w:val="00D0489A"/>
    <w:rsid w:val="00D21F97"/>
    <w:rsid w:val="00D43DC6"/>
    <w:rsid w:val="00D67E19"/>
    <w:rsid w:val="00D953D9"/>
    <w:rsid w:val="00DA7CFC"/>
    <w:rsid w:val="00DB2012"/>
    <w:rsid w:val="00DC3734"/>
    <w:rsid w:val="00E44687"/>
    <w:rsid w:val="00E50D83"/>
    <w:rsid w:val="00E57854"/>
    <w:rsid w:val="00E70D33"/>
    <w:rsid w:val="00EB7710"/>
    <w:rsid w:val="00F04AA3"/>
    <w:rsid w:val="00F155F8"/>
    <w:rsid w:val="00F37489"/>
    <w:rsid w:val="00F553EB"/>
    <w:rsid w:val="00F65446"/>
    <w:rsid w:val="00F8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8307</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2021-08-09T11:26:00Z</cp:lastPrinted>
  <dcterms:created xsi:type="dcterms:W3CDTF">2022-03-24T11:07:00Z</dcterms:created>
  <dcterms:modified xsi:type="dcterms:W3CDTF">2022-03-25T10:05:00Z</dcterms:modified>
</cp:coreProperties>
</file>